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4D41" w:rsidRPr="00DA1BDA" w:rsidRDefault="00E14D41" w:rsidP="00E14D41">
      <w:pPr>
        <w:autoSpaceDE w:val="0"/>
        <w:autoSpaceDN w:val="0"/>
        <w:adjustRightInd w:val="0"/>
        <w:jc w:val="center"/>
        <w:rPr>
          <w:rFonts w:ascii="標楷體" w:eastAsia="標楷體" w:hAnsi="標楷體"/>
          <w:b/>
          <w:kern w:val="0"/>
          <w:sz w:val="28"/>
          <w:szCs w:val="28"/>
        </w:rPr>
      </w:pPr>
      <w:r w:rsidRPr="00DA1BDA">
        <w:rPr>
          <w:rFonts w:ascii="標楷體" w:eastAsia="標楷體" w:hAnsi="標楷體"/>
          <w:b/>
          <w:kern w:val="0"/>
          <w:sz w:val="28"/>
          <w:szCs w:val="28"/>
        </w:rPr>
        <w:t>國立臺北護理健康大學教師授課鐘點核計辦法</w:t>
      </w:r>
    </w:p>
    <w:p w:rsidR="00E14D41" w:rsidRPr="00DA1BDA" w:rsidRDefault="00E14D41" w:rsidP="00E14D41">
      <w:pPr>
        <w:pStyle w:val="Web"/>
        <w:snapToGrid w:val="0"/>
        <w:spacing w:before="0" w:beforeAutospacing="0" w:after="0" w:afterAutospacing="0"/>
        <w:ind w:left="511" w:right="200" w:hangingChars="213" w:hanging="511"/>
        <w:jc w:val="right"/>
        <w:rPr>
          <w:rFonts w:ascii="標楷體" w:eastAsia="標楷體" w:hAnsi="標楷體" w:cs="Times New Roman"/>
        </w:rPr>
      </w:pPr>
      <w:smartTag w:uri="urn:schemas-microsoft-com:office:smarttags" w:element="chsdate">
        <w:smartTagPr>
          <w:attr w:name="IsROCDate" w:val="False"/>
          <w:attr w:name="IsLunarDate" w:val="False"/>
          <w:attr w:name="Day" w:val="12"/>
          <w:attr w:name="Month" w:val="10"/>
          <w:attr w:name="Year" w:val="1993"/>
        </w:smartTagPr>
        <w:r w:rsidRPr="00DA1BDA">
          <w:rPr>
            <w:rFonts w:ascii="標楷體" w:eastAsia="標楷體" w:hAnsi="標楷體" w:cs="Times New Roman"/>
          </w:rPr>
          <w:t>93年10月12日</w:t>
        </w:r>
      </w:smartTag>
      <w:r w:rsidRPr="00DA1BDA">
        <w:rPr>
          <w:rFonts w:ascii="標楷體" w:eastAsia="標楷體" w:hAnsi="標楷體" w:cs="Times New Roman"/>
        </w:rPr>
        <w:t>教務會議訂定通過</w:t>
      </w:r>
    </w:p>
    <w:p w:rsidR="00E14D41" w:rsidRPr="00DA1BDA" w:rsidRDefault="00E14D41" w:rsidP="00E14D41">
      <w:pPr>
        <w:ind w:right="240"/>
        <w:jc w:val="right"/>
        <w:rPr>
          <w:rFonts w:ascii="標楷體" w:eastAsia="標楷體" w:hAnsi="標楷體"/>
          <w:szCs w:val="24"/>
        </w:rPr>
      </w:pPr>
      <w:r w:rsidRPr="00DA1BDA">
        <w:rPr>
          <w:rFonts w:ascii="標楷體" w:eastAsia="標楷體" w:hAnsi="標楷體"/>
          <w:szCs w:val="24"/>
        </w:rPr>
        <w:t>94.6.14、95.3.15、95.6.14、95.12.27、96.6.13、98.12.23、99.07.30、99.10.13、100.01.05、100.06.08、100.10.20</w:t>
      </w:r>
      <w:r>
        <w:rPr>
          <w:rFonts w:ascii="標楷體" w:eastAsia="標楷體" w:hAnsi="標楷體" w:hint="eastAsia"/>
          <w:szCs w:val="24"/>
        </w:rPr>
        <w:t>、101.06.06</w:t>
      </w:r>
      <w:r w:rsidRPr="00DA1BDA">
        <w:rPr>
          <w:rFonts w:ascii="標楷體" w:eastAsia="標楷體" w:hAnsi="標楷體"/>
          <w:szCs w:val="24"/>
        </w:rPr>
        <w:t>教務會議修正通過</w:t>
      </w:r>
    </w:p>
    <w:p w:rsidR="00E14D41" w:rsidRPr="00DA1BDA" w:rsidRDefault="00E14D41" w:rsidP="00E14D41">
      <w:pPr>
        <w:ind w:right="240"/>
        <w:jc w:val="right"/>
        <w:rPr>
          <w:rFonts w:ascii="標楷體" w:eastAsia="標楷體" w:hAnsi="標楷體"/>
          <w:szCs w:val="24"/>
        </w:rPr>
      </w:pPr>
    </w:p>
    <w:p w:rsidR="00E14D41" w:rsidRPr="00DA1BDA" w:rsidRDefault="00E14D41" w:rsidP="00E14D41">
      <w:pPr>
        <w:pStyle w:val="a3"/>
        <w:numPr>
          <w:ilvl w:val="0"/>
          <w:numId w:val="1"/>
        </w:numPr>
        <w:autoSpaceDE w:val="0"/>
        <w:autoSpaceDN w:val="0"/>
        <w:adjustRightInd w:val="0"/>
        <w:ind w:leftChars="0" w:left="567" w:hanging="567"/>
        <w:rPr>
          <w:rFonts w:ascii="標楷體" w:eastAsia="標楷體" w:hAnsi="標楷體"/>
          <w:kern w:val="0"/>
        </w:rPr>
      </w:pPr>
      <w:r w:rsidRPr="00DA1BDA">
        <w:rPr>
          <w:rFonts w:ascii="標楷體" w:eastAsia="標楷體" w:hAnsi="標楷體"/>
          <w:kern w:val="0"/>
        </w:rPr>
        <w:t>為核算本校專兼任教師授課鐘點，特定「國立臺北護理健康大學教師授課鐘核計辦法」，以下稱為本辦法。</w:t>
      </w:r>
    </w:p>
    <w:p w:rsidR="00E14D41" w:rsidRPr="00DA1BDA" w:rsidRDefault="00E14D41" w:rsidP="00E14D41">
      <w:pPr>
        <w:pStyle w:val="a3"/>
        <w:numPr>
          <w:ilvl w:val="0"/>
          <w:numId w:val="1"/>
        </w:numPr>
        <w:autoSpaceDE w:val="0"/>
        <w:autoSpaceDN w:val="0"/>
        <w:adjustRightInd w:val="0"/>
        <w:ind w:leftChars="0" w:left="567" w:hanging="567"/>
        <w:rPr>
          <w:rFonts w:ascii="標楷體" w:eastAsia="標楷體" w:hAnsi="標楷體"/>
          <w:kern w:val="0"/>
        </w:rPr>
      </w:pPr>
      <w:r w:rsidRPr="00DA1BDA">
        <w:rPr>
          <w:rFonts w:ascii="標楷體" w:eastAsia="標楷體" w:hAnsi="標楷體"/>
          <w:kern w:val="0"/>
        </w:rPr>
        <w:t>本校專任教師每週基本授課時數及兼任行政主管之減授鐘點數，依本校「教師授課時數管理要點」；校外兼課依本校「教師借調課兼職兼課處理要點」之規定辦理。</w:t>
      </w:r>
    </w:p>
    <w:p w:rsidR="00E14D41" w:rsidRPr="00DA1BDA" w:rsidRDefault="00E14D41" w:rsidP="00E14D41">
      <w:pPr>
        <w:pStyle w:val="a3"/>
        <w:numPr>
          <w:ilvl w:val="0"/>
          <w:numId w:val="1"/>
        </w:numPr>
        <w:autoSpaceDE w:val="0"/>
        <w:autoSpaceDN w:val="0"/>
        <w:adjustRightInd w:val="0"/>
        <w:ind w:leftChars="0" w:left="567" w:hanging="567"/>
        <w:rPr>
          <w:rFonts w:ascii="標楷體" w:eastAsia="標楷體" w:hAnsi="標楷體"/>
          <w:kern w:val="0"/>
        </w:rPr>
      </w:pPr>
      <w:r w:rsidRPr="00DA1BDA">
        <w:rPr>
          <w:rFonts w:ascii="標楷體" w:eastAsia="標楷體" w:hAnsi="標楷體"/>
          <w:kern w:val="0"/>
        </w:rPr>
        <w:t>授課鐘點數皆計算至小數點以下二位，餘四捨五入。</w:t>
      </w:r>
    </w:p>
    <w:p w:rsidR="00E14D41" w:rsidRPr="00DA1BDA" w:rsidRDefault="00E14D41" w:rsidP="00E14D41">
      <w:pPr>
        <w:pStyle w:val="a3"/>
        <w:numPr>
          <w:ilvl w:val="0"/>
          <w:numId w:val="1"/>
        </w:numPr>
        <w:autoSpaceDE w:val="0"/>
        <w:autoSpaceDN w:val="0"/>
        <w:adjustRightInd w:val="0"/>
        <w:ind w:leftChars="0" w:left="567" w:hanging="567"/>
        <w:rPr>
          <w:rFonts w:ascii="標楷體" w:eastAsia="標楷體" w:hAnsi="標楷體"/>
          <w:kern w:val="0"/>
        </w:rPr>
      </w:pPr>
      <w:r w:rsidRPr="00DA1BDA">
        <w:rPr>
          <w:rFonts w:ascii="標楷體" w:eastAsia="標楷體" w:hAnsi="標楷體"/>
          <w:kern w:val="0"/>
        </w:rPr>
        <w:t>多位教師共同（或輪流）擔任同一門科目時，任課教師的鐘點數，以個人平均之每週任教鐘點數計算之。</w:t>
      </w:r>
    </w:p>
    <w:p w:rsidR="00E14D41" w:rsidRPr="00DA1BDA" w:rsidRDefault="00E14D41" w:rsidP="00E14D41">
      <w:pPr>
        <w:pStyle w:val="a3"/>
        <w:numPr>
          <w:ilvl w:val="0"/>
          <w:numId w:val="1"/>
        </w:numPr>
        <w:autoSpaceDE w:val="0"/>
        <w:autoSpaceDN w:val="0"/>
        <w:adjustRightInd w:val="0"/>
        <w:ind w:leftChars="0" w:left="567" w:hanging="567"/>
        <w:rPr>
          <w:rFonts w:ascii="標楷體" w:eastAsia="標楷體" w:hAnsi="標楷體"/>
          <w:kern w:val="0"/>
        </w:rPr>
      </w:pPr>
      <w:r w:rsidRPr="00DA1BDA">
        <w:rPr>
          <w:rFonts w:ascii="標楷體" w:eastAsia="標楷體" w:hAnsi="標楷體"/>
          <w:kern w:val="0"/>
        </w:rPr>
        <w:t>各系、所開設屬實習、實務、及實務專題之相關課程，得視需要實施分組教學，但需先經核准方可實施。實施分組教學之課程，其授課時數折算鐘點原則如下：</w:t>
      </w:r>
    </w:p>
    <w:p w:rsidR="00E14D41" w:rsidRPr="00DA1BDA" w:rsidRDefault="00E14D41" w:rsidP="00E14D41">
      <w:pPr>
        <w:pStyle w:val="a3"/>
        <w:numPr>
          <w:ilvl w:val="0"/>
          <w:numId w:val="2"/>
        </w:numPr>
        <w:autoSpaceDE w:val="0"/>
        <w:autoSpaceDN w:val="0"/>
        <w:adjustRightInd w:val="0"/>
        <w:ind w:leftChars="0"/>
        <w:rPr>
          <w:rFonts w:ascii="標楷體" w:eastAsia="標楷體" w:hAnsi="標楷體"/>
          <w:kern w:val="0"/>
        </w:rPr>
      </w:pPr>
      <w:r w:rsidRPr="00DA1BDA">
        <w:rPr>
          <w:rFonts w:ascii="標楷體" w:eastAsia="標楷體" w:hAnsi="標楷體"/>
          <w:kern w:val="0"/>
        </w:rPr>
        <w:t>依帶實習的指導方式分為四類：各科實習只能擇一歸類。</w:t>
      </w:r>
    </w:p>
    <w:p w:rsidR="00E14D41" w:rsidRPr="00DA1BDA" w:rsidRDefault="00E14D41" w:rsidP="00E14D41">
      <w:pPr>
        <w:pStyle w:val="a3"/>
        <w:numPr>
          <w:ilvl w:val="0"/>
          <w:numId w:val="3"/>
        </w:numPr>
        <w:autoSpaceDE w:val="0"/>
        <w:autoSpaceDN w:val="0"/>
        <w:adjustRightInd w:val="0"/>
        <w:ind w:leftChars="0"/>
        <w:rPr>
          <w:rFonts w:ascii="標楷體" w:eastAsia="標楷體" w:hAnsi="標楷體"/>
          <w:kern w:val="0"/>
        </w:rPr>
      </w:pPr>
      <w:r w:rsidRPr="00DA1BDA">
        <w:rPr>
          <w:rFonts w:ascii="標楷體" w:eastAsia="標楷體" w:hAnsi="標楷體"/>
          <w:kern w:val="0"/>
        </w:rPr>
        <w:t>第一類實習：全時、現場直接指導(特定實習場所、規定時間)、校內討論。實習分組（以10 人為計算單位），教師在實習單位全程指導。老教師帶第一類實習的期間，不得再上其他課室課程，每組十位學生，學生須在同一實習單位。</w:t>
      </w:r>
    </w:p>
    <w:p w:rsidR="00E14D41" w:rsidRPr="00DA1BDA" w:rsidRDefault="00E14D41" w:rsidP="00E14D41">
      <w:pPr>
        <w:pStyle w:val="a3"/>
        <w:numPr>
          <w:ilvl w:val="0"/>
          <w:numId w:val="3"/>
        </w:numPr>
        <w:autoSpaceDE w:val="0"/>
        <w:autoSpaceDN w:val="0"/>
        <w:adjustRightInd w:val="0"/>
        <w:ind w:leftChars="0"/>
        <w:rPr>
          <w:rFonts w:ascii="標楷體" w:eastAsia="標楷體" w:hAnsi="標楷體"/>
          <w:kern w:val="0"/>
        </w:rPr>
      </w:pPr>
      <w:r w:rsidRPr="00DA1BDA">
        <w:rPr>
          <w:rFonts w:ascii="標楷體" w:eastAsia="標楷體" w:hAnsi="標楷體"/>
          <w:kern w:val="0"/>
        </w:rPr>
        <w:t>第二類實習：部分時間、現場直接指導(特定實習場所由臨床或現場指導老師、規定時間)、校內討論。實習分組（以10 人為計算單位），教師在實習單位半程指導或固定時間。老師帶第二類實習的期間,不得再上其他課室課程，每組十位學生，學生須在同實習機構或步行20 分鐘內可到達的距離。</w:t>
      </w:r>
    </w:p>
    <w:p w:rsidR="00E14D41" w:rsidRPr="00DA1BDA" w:rsidRDefault="00E14D41" w:rsidP="00E14D41">
      <w:pPr>
        <w:pStyle w:val="a3"/>
        <w:numPr>
          <w:ilvl w:val="0"/>
          <w:numId w:val="3"/>
        </w:numPr>
        <w:autoSpaceDE w:val="0"/>
        <w:autoSpaceDN w:val="0"/>
        <w:adjustRightInd w:val="0"/>
        <w:ind w:leftChars="0"/>
        <w:rPr>
          <w:rFonts w:ascii="標楷體" w:eastAsia="標楷體" w:hAnsi="標楷體"/>
          <w:kern w:val="0"/>
        </w:rPr>
      </w:pPr>
      <w:r w:rsidRPr="00DA1BDA">
        <w:rPr>
          <w:rFonts w:ascii="標楷體" w:eastAsia="標楷體" w:hAnsi="標楷體"/>
          <w:kern w:val="0"/>
        </w:rPr>
        <w:t>第三類實習：現場訪視指導(固定場所、固定時間訪視)、校內討論。訪視性質的實習指導：教師定時訪視及指導實習學生，不分組，以班級為單位。</w:t>
      </w:r>
    </w:p>
    <w:p w:rsidR="00E14D41" w:rsidRPr="00DA1BDA" w:rsidRDefault="00E14D41" w:rsidP="00E14D41">
      <w:pPr>
        <w:pStyle w:val="a3"/>
        <w:numPr>
          <w:ilvl w:val="0"/>
          <w:numId w:val="3"/>
        </w:numPr>
        <w:autoSpaceDE w:val="0"/>
        <w:autoSpaceDN w:val="0"/>
        <w:adjustRightInd w:val="0"/>
        <w:ind w:leftChars="0"/>
        <w:rPr>
          <w:rFonts w:ascii="標楷體" w:eastAsia="標楷體" w:hAnsi="標楷體"/>
          <w:kern w:val="0"/>
        </w:rPr>
      </w:pPr>
      <w:r w:rsidRPr="00DA1BDA">
        <w:rPr>
          <w:rFonts w:ascii="標楷體" w:eastAsia="標楷體" w:hAnsi="標楷體"/>
          <w:kern w:val="0"/>
        </w:rPr>
        <w:t>第四類實習：在校指導及校內討論、不定時現場訪視指導，或有現場指導老師。本項實習限於研究所的實習課程。</w:t>
      </w:r>
    </w:p>
    <w:p w:rsidR="00E14D41" w:rsidRPr="00DA1BDA" w:rsidRDefault="00E14D41" w:rsidP="00E14D41">
      <w:pPr>
        <w:pStyle w:val="a3"/>
        <w:numPr>
          <w:ilvl w:val="0"/>
          <w:numId w:val="2"/>
        </w:numPr>
        <w:autoSpaceDE w:val="0"/>
        <w:autoSpaceDN w:val="0"/>
        <w:adjustRightInd w:val="0"/>
        <w:ind w:leftChars="0"/>
        <w:rPr>
          <w:rFonts w:ascii="標楷體" w:eastAsia="標楷體" w:hAnsi="標楷體"/>
          <w:kern w:val="0"/>
        </w:rPr>
      </w:pPr>
      <w:r w:rsidRPr="00DA1BDA">
        <w:rPr>
          <w:rFonts w:ascii="標楷體" w:eastAsia="標楷體" w:hAnsi="標楷體"/>
          <w:kern w:val="0"/>
        </w:rPr>
        <w:t>各類實習鐘點核計方式：</w:t>
      </w:r>
    </w:p>
    <w:p w:rsidR="00E14D41" w:rsidRPr="00DA1BDA" w:rsidRDefault="00E14D41" w:rsidP="00E14D41">
      <w:pPr>
        <w:pStyle w:val="a3"/>
        <w:numPr>
          <w:ilvl w:val="0"/>
          <w:numId w:val="4"/>
        </w:numPr>
        <w:autoSpaceDE w:val="0"/>
        <w:autoSpaceDN w:val="0"/>
        <w:adjustRightInd w:val="0"/>
        <w:ind w:leftChars="0"/>
        <w:rPr>
          <w:rFonts w:ascii="標楷體" w:eastAsia="標楷體" w:hAnsi="標楷體"/>
          <w:kern w:val="0"/>
        </w:rPr>
      </w:pPr>
      <w:r w:rsidRPr="00DA1BDA">
        <w:rPr>
          <w:rFonts w:ascii="標楷體" w:eastAsia="標楷體" w:hAnsi="標楷體"/>
          <w:kern w:val="0"/>
        </w:rPr>
        <w:t>第一類實習：0.125(每學分鐘點，每位學生計算)。唯受限於醫療機構接受實習人數規定時，未足10 人仍以10 人計。</w:t>
      </w:r>
    </w:p>
    <w:p w:rsidR="00E14D41" w:rsidRPr="00DA1BDA" w:rsidRDefault="00E14D41" w:rsidP="00E14D41">
      <w:pPr>
        <w:pStyle w:val="a3"/>
        <w:numPr>
          <w:ilvl w:val="0"/>
          <w:numId w:val="4"/>
        </w:numPr>
        <w:autoSpaceDE w:val="0"/>
        <w:autoSpaceDN w:val="0"/>
        <w:adjustRightInd w:val="0"/>
        <w:ind w:leftChars="0"/>
        <w:rPr>
          <w:rFonts w:ascii="標楷體" w:eastAsia="標楷體" w:hAnsi="標楷體"/>
          <w:kern w:val="0"/>
        </w:rPr>
      </w:pPr>
      <w:r w:rsidRPr="00DA1BDA">
        <w:rPr>
          <w:rFonts w:ascii="標楷體" w:eastAsia="標楷體" w:hAnsi="標楷體"/>
          <w:kern w:val="0"/>
        </w:rPr>
        <w:t>第二類實習：0.08(每學分鐘點，每位學生計算)。</w:t>
      </w:r>
    </w:p>
    <w:p w:rsidR="00E14D41" w:rsidRPr="00DA1BDA" w:rsidRDefault="00E14D41" w:rsidP="00E14D41">
      <w:pPr>
        <w:pStyle w:val="a3"/>
        <w:numPr>
          <w:ilvl w:val="0"/>
          <w:numId w:val="4"/>
        </w:numPr>
        <w:autoSpaceDE w:val="0"/>
        <w:autoSpaceDN w:val="0"/>
        <w:adjustRightInd w:val="0"/>
        <w:ind w:leftChars="0"/>
        <w:rPr>
          <w:rFonts w:ascii="標楷體" w:eastAsia="標楷體" w:hAnsi="標楷體"/>
          <w:kern w:val="0"/>
        </w:rPr>
      </w:pPr>
      <w:r w:rsidRPr="00DA1BDA">
        <w:rPr>
          <w:rFonts w:ascii="標楷體" w:eastAsia="標楷體" w:hAnsi="標楷體"/>
          <w:kern w:val="0"/>
        </w:rPr>
        <w:t>第三類實習：0.05(每學分鐘點，每位學生計算)。</w:t>
      </w:r>
    </w:p>
    <w:p w:rsidR="00E14D41" w:rsidRPr="00DA1BDA" w:rsidRDefault="00E14D41" w:rsidP="00E14D41">
      <w:pPr>
        <w:pStyle w:val="a3"/>
        <w:numPr>
          <w:ilvl w:val="0"/>
          <w:numId w:val="4"/>
        </w:numPr>
        <w:autoSpaceDE w:val="0"/>
        <w:autoSpaceDN w:val="0"/>
        <w:adjustRightInd w:val="0"/>
        <w:ind w:leftChars="0"/>
        <w:rPr>
          <w:rFonts w:ascii="標楷體" w:eastAsia="標楷體" w:hAnsi="標楷體"/>
          <w:kern w:val="0"/>
        </w:rPr>
      </w:pPr>
      <w:r w:rsidRPr="00DA1BDA">
        <w:rPr>
          <w:rFonts w:ascii="標楷體" w:eastAsia="標楷體" w:hAnsi="標楷體"/>
          <w:kern w:val="0"/>
        </w:rPr>
        <w:t>第四類實習：0.1(每學分鐘點，每位學生計算)。</w:t>
      </w:r>
    </w:p>
    <w:p w:rsidR="00E14D41" w:rsidRPr="00DA1BDA" w:rsidRDefault="00E14D41" w:rsidP="00E14D41">
      <w:pPr>
        <w:pStyle w:val="a3"/>
        <w:numPr>
          <w:ilvl w:val="0"/>
          <w:numId w:val="2"/>
        </w:numPr>
        <w:autoSpaceDE w:val="0"/>
        <w:autoSpaceDN w:val="0"/>
        <w:adjustRightInd w:val="0"/>
        <w:ind w:leftChars="0"/>
        <w:rPr>
          <w:rFonts w:ascii="標楷體" w:eastAsia="標楷體" w:hAnsi="標楷體"/>
          <w:kern w:val="0"/>
        </w:rPr>
      </w:pPr>
      <w:r w:rsidRPr="00DA1BDA">
        <w:rPr>
          <w:rFonts w:ascii="標楷體" w:eastAsia="標楷體" w:hAnsi="標楷體"/>
          <w:kern w:val="0"/>
        </w:rPr>
        <w:lastRenderedPageBreak/>
        <w:t>其他特殊實習方式之鐘點經校長核可者。</w:t>
      </w:r>
    </w:p>
    <w:p w:rsidR="00E14D41" w:rsidRPr="00DA1BDA" w:rsidRDefault="00E14D41" w:rsidP="00E14D41">
      <w:pPr>
        <w:pStyle w:val="a3"/>
        <w:numPr>
          <w:ilvl w:val="0"/>
          <w:numId w:val="2"/>
        </w:numPr>
        <w:autoSpaceDE w:val="0"/>
        <w:autoSpaceDN w:val="0"/>
        <w:adjustRightInd w:val="0"/>
        <w:ind w:leftChars="0"/>
        <w:rPr>
          <w:rFonts w:ascii="標楷體" w:eastAsia="標楷體" w:hAnsi="標楷體"/>
          <w:kern w:val="0"/>
        </w:rPr>
      </w:pPr>
      <w:r w:rsidRPr="00DA1BDA">
        <w:rPr>
          <w:rFonts w:ascii="標楷體" w:eastAsia="標楷體" w:hAnsi="標楷體"/>
          <w:kern w:val="0"/>
        </w:rPr>
        <w:t>實務專題（2 學分），每組學生以七至十名為原則，指導每位學生每學分數折算0.0625 個鐘點。</w:t>
      </w:r>
    </w:p>
    <w:p w:rsidR="00E14D41" w:rsidRPr="00DA1BDA" w:rsidRDefault="00E14D41" w:rsidP="00E14D41">
      <w:pPr>
        <w:pStyle w:val="a3"/>
        <w:numPr>
          <w:ilvl w:val="0"/>
          <w:numId w:val="1"/>
        </w:numPr>
        <w:autoSpaceDE w:val="0"/>
        <w:autoSpaceDN w:val="0"/>
        <w:adjustRightInd w:val="0"/>
        <w:ind w:leftChars="0" w:left="567" w:hanging="567"/>
        <w:rPr>
          <w:rFonts w:ascii="標楷體" w:eastAsia="標楷體" w:hAnsi="標楷體"/>
          <w:kern w:val="0"/>
        </w:rPr>
      </w:pPr>
      <w:r w:rsidRPr="00DA1BDA">
        <w:rPr>
          <w:rFonts w:ascii="標楷體" w:eastAsia="標楷體" w:hAnsi="標楷體"/>
          <w:kern w:val="0"/>
        </w:rPr>
        <w:t>實驗、體育、英文聽講練習每學分授課時數2 小時，依實際授課時數核計鐘點。</w:t>
      </w:r>
    </w:p>
    <w:p w:rsidR="00E14D41" w:rsidRPr="00DA1BDA" w:rsidRDefault="00E14D41" w:rsidP="00E14D41">
      <w:pPr>
        <w:pStyle w:val="a3"/>
        <w:numPr>
          <w:ilvl w:val="0"/>
          <w:numId w:val="1"/>
        </w:numPr>
        <w:autoSpaceDE w:val="0"/>
        <w:autoSpaceDN w:val="0"/>
        <w:adjustRightInd w:val="0"/>
        <w:ind w:leftChars="0" w:left="567" w:hanging="567"/>
        <w:rPr>
          <w:rFonts w:ascii="標楷體" w:eastAsia="標楷體" w:hAnsi="標楷體"/>
          <w:kern w:val="0"/>
        </w:rPr>
      </w:pPr>
      <w:r w:rsidRPr="00DA1BDA">
        <w:rPr>
          <w:rFonts w:ascii="標楷體" w:eastAsia="標楷體" w:hAnsi="標楷體"/>
          <w:kern w:val="0"/>
        </w:rPr>
        <w:t>有關研究生論文指導費核計方法詳如下：</w:t>
      </w:r>
    </w:p>
    <w:p w:rsidR="00E14D41" w:rsidRPr="00DA1BDA" w:rsidRDefault="00E14D41" w:rsidP="00E14D41">
      <w:pPr>
        <w:pStyle w:val="a3"/>
        <w:numPr>
          <w:ilvl w:val="0"/>
          <w:numId w:val="5"/>
        </w:numPr>
        <w:autoSpaceDE w:val="0"/>
        <w:autoSpaceDN w:val="0"/>
        <w:adjustRightInd w:val="0"/>
        <w:ind w:leftChars="0"/>
        <w:rPr>
          <w:rFonts w:ascii="標楷體" w:eastAsia="標楷體" w:hAnsi="標楷體"/>
          <w:kern w:val="0"/>
        </w:rPr>
      </w:pPr>
      <w:r w:rsidRPr="00DA1BDA">
        <w:rPr>
          <w:rFonts w:ascii="標楷體" w:eastAsia="標楷體" w:hAnsi="標楷體"/>
          <w:kern w:val="0"/>
        </w:rPr>
        <w:t>碩士生：為每學期以1 鐘點核計，可列入基本鐘點或超支鐘點；指導超過1 人，不論人數多寡仍以1 鐘點計；惟指導同一人，以核計一次為限。畢業論文完成後指導費每篇4,000 元。</w:t>
      </w:r>
    </w:p>
    <w:p w:rsidR="00E14D41" w:rsidRPr="00DA1BDA" w:rsidRDefault="00E14D41" w:rsidP="00E14D41">
      <w:pPr>
        <w:pStyle w:val="a3"/>
        <w:numPr>
          <w:ilvl w:val="0"/>
          <w:numId w:val="5"/>
        </w:numPr>
        <w:autoSpaceDE w:val="0"/>
        <w:autoSpaceDN w:val="0"/>
        <w:adjustRightInd w:val="0"/>
        <w:ind w:leftChars="0"/>
        <w:rPr>
          <w:rFonts w:ascii="標楷體" w:eastAsia="標楷體" w:hAnsi="標楷體"/>
          <w:kern w:val="0"/>
        </w:rPr>
      </w:pPr>
      <w:r w:rsidRPr="00DA1BDA">
        <w:rPr>
          <w:rFonts w:ascii="標楷體" w:eastAsia="標楷體" w:hAnsi="標楷體"/>
          <w:kern w:val="0"/>
        </w:rPr>
        <w:t>博士生：為每學期以1 鐘點核計，每篇以二次為上限，可列入基本鐘點或超支鐘點；惟指導同一人，不得重複核計。且每位老師每學期以收3 名學生為限，超過3 名學生仍以3 名計。畢業論文完成後指導費每篇6,000 元。</w:t>
      </w:r>
    </w:p>
    <w:p w:rsidR="00E14D41" w:rsidRPr="00DA1BDA" w:rsidRDefault="00E14D41" w:rsidP="00E14D41">
      <w:pPr>
        <w:pStyle w:val="a3"/>
        <w:numPr>
          <w:ilvl w:val="0"/>
          <w:numId w:val="1"/>
        </w:numPr>
        <w:autoSpaceDE w:val="0"/>
        <w:autoSpaceDN w:val="0"/>
        <w:adjustRightInd w:val="0"/>
        <w:ind w:leftChars="0" w:left="567" w:hanging="567"/>
        <w:rPr>
          <w:rFonts w:ascii="標楷體" w:eastAsia="標楷體" w:hAnsi="標楷體"/>
          <w:kern w:val="0"/>
        </w:rPr>
      </w:pPr>
      <w:r w:rsidRPr="00DA1BDA">
        <w:rPr>
          <w:rFonts w:ascii="標楷體" w:eastAsia="標楷體" w:hAnsi="標楷體"/>
          <w:kern w:val="0"/>
        </w:rPr>
        <w:t>有關研究生『專題研究』指導費核計方法詳如下：</w:t>
      </w:r>
    </w:p>
    <w:p w:rsidR="00E14D41" w:rsidRPr="00DA1BDA" w:rsidRDefault="00E14D41" w:rsidP="00E14D41">
      <w:pPr>
        <w:pStyle w:val="a3"/>
        <w:numPr>
          <w:ilvl w:val="0"/>
          <w:numId w:val="6"/>
        </w:numPr>
        <w:autoSpaceDE w:val="0"/>
        <w:autoSpaceDN w:val="0"/>
        <w:adjustRightInd w:val="0"/>
        <w:ind w:leftChars="0"/>
        <w:rPr>
          <w:rFonts w:ascii="標楷體" w:eastAsia="標楷體" w:hAnsi="標楷體"/>
          <w:kern w:val="0"/>
        </w:rPr>
      </w:pPr>
      <w:r w:rsidRPr="00DA1BDA">
        <w:rPr>
          <w:rFonts w:ascii="標楷體" w:eastAsia="標楷體" w:hAnsi="標楷體"/>
          <w:kern w:val="0"/>
        </w:rPr>
        <w:t>碩士生：學生修習『專題研究』，教師指導每位學生給付指導費方式以1 學分1 小時核計鐘點數。且每位老師每學期以收3 名學生為限，超過3 名學生仍以3 名計。</w:t>
      </w:r>
    </w:p>
    <w:p w:rsidR="00E14D41" w:rsidRPr="00DA1BDA" w:rsidRDefault="00E14D41" w:rsidP="00E14D41">
      <w:pPr>
        <w:pStyle w:val="a3"/>
        <w:numPr>
          <w:ilvl w:val="0"/>
          <w:numId w:val="6"/>
        </w:numPr>
        <w:autoSpaceDE w:val="0"/>
        <w:autoSpaceDN w:val="0"/>
        <w:adjustRightInd w:val="0"/>
        <w:ind w:leftChars="0"/>
        <w:rPr>
          <w:rFonts w:ascii="標楷體" w:eastAsia="標楷體" w:hAnsi="標楷體"/>
          <w:kern w:val="0"/>
        </w:rPr>
      </w:pPr>
      <w:r w:rsidRPr="00DA1BDA">
        <w:rPr>
          <w:rFonts w:ascii="標楷體" w:eastAsia="標楷體" w:hAnsi="標楷體"/>
          <w:kern w:val="0"/>
        </w:rPr>
        <w:t>博士生：學生修習『論文專題研究』，教師指導每位學生給付指導費方式，以1 學分1 小時核計鐘點數。且每位老師每學期以收3 名學生為限，超過3 名學生仍以3 名計。</w:t>
      </w:r>
    </w:p>
    <w:p w:rsidR="00E14D41" w:rsidRPr="00DA1BDA" w:rsidRDefault="00E14D41" w:rsidP="00E14D41">
      <w:pPr>
        <w:pStyle w:val="a3"/>
        <w:numPr>
          <w:ilvl w:val="0"/>
          <w:numId w:val="1"/>
        </w:numPr>
        <w:autoSpaceDE w:val="0"/>
        <w:autoSpaceDN w:val="0"/>
        <w:adjustRightInd w:val="0"/>
        <w:ind w:leftChars="0" w:left="567" w:hanging="567"/>
        <w:rPr>
          <w:rFonts w:ascii="標楷體" w:eastAsia="標楷體" w:hAnsi="標楷體"/>
          <w:kern w:val="0"/>
        </w:rPr>
      </w:pPr>
      <w:r w:rsidRPr="00DA1BDA">
        <w:rPr>
          <w:rFonts w:ascii="標楷體" w:eastAsia="標楷體" w:hAnsi="標楷體"/>
          <w:kern w:val="0"/>
        </w:rPr>
        <w:t>大學部課程修課學生人數基本上以每班五十名為原則。六十人至六十九人者，以1.2 倍計算；七十人以上者，每增加十人（不足十人以十人計）授課鐘點</w:t>
      </w:r>
      <w:r w:rsidRPr="00DA1BDA">
        <w:rPr>
          <w:rFonts w:ascii="標楷體" w:eastAsia="標楷體" w:hAnsi="標楷體"/>
          <w:kern w:val="0"/>
          <w:u w:val="single"/>
        </w:rPr>
        <w:t>費</w:t>
      </w:r>
      <w:r w:rsidRPr="00DA1BDA">
        <w:rPr>
          <w:rFonts w:ascii="標楷體" w:eastAsia="標楷體" w:hAnsi="標楷體"/>
          <w:kern w:val="0"/>
        </w:rPr>
        <w:t>加0.2 倍，依此類推，以增加兩倍為上限。修課人數達八十人或因課程需要用到專業教室，器材設備不足時，經核准後得分組授課。</w:t>
      </w:r>
    </w:p>
    <w:p w:rsidR="00E14D41" w:rsidRPr="00DA1BDA" w:rsidRDefault="00E14D41" w:rsidP="00E14D41">
      <w:pPr>
        <w:pStyle w:val="a3"/>
        <w:numPr>
          <w:ilvl w:val="0"/>
          <w:numId w:val="1"/>
        </w:numPr>
        <w:autoSpaceDE w:val="0"/>
        <w:autoSpaceDN w:val="0"/>
        <w:adjustRightInd w:val="0"/>
        <w:ind w:leftChars="0" w:left="567" w:hanging="567"/>
        <w:rPr>
          <w:rFonts w:ascii="標楷體" w:eastAsia="標楷體" w:hAnsi="標楷體"/>
          <w:kern w:val="0"/>
        </w:rPr>
      </w:pPr>
      <w:r w:rsidRPr="00DA1BDA">
        <w:rPr>
          <w:rFonts w:ascii="標楷體" w:eastAsia="標楷體" w:hAnsi="標楷體"/>
          <w:kern w:val="0"/>
        </w:rPr>
        <w:t>本校教師基本授課鐘點數依實際開課之學制上、下學期合併計算，學士層級進修部教師授課鐘點數計算以招生委員會議中通過之招生簡章上明定該班級為日間上課者以日間鐘點費核計；夜間上課者以夜間鐘點費核計。教師每學期超支鐘點以四小時為限</w:t>
      </w:r>
      <w:r w:rsidRPr="00DA1BDA">
        <w:rPr>
          <w:rFonts w:ascii="標楷體" w:eastAsia="標楷體" w:hAnsi="標楷體"/>
          <w:kern w:val="0"/>
          <w:u w:val="single"/>
        </w:rPr>
        <w:t>，</w:t>
      </w:r>
      <w:r w:rsidRPr="00DA1BDA">
        <w:rPr>
          <w:rFonts w:ascii="標楷體" w:eastAsia="標楷體" w:hAnsi="標楷體"/>
          <w:kern w:val="0"/>
        </w:rPr>
        <w:t>惟專班、國際學程之鐘點數得不受超支鐘點限制。教授於年</w:t>
      </w:r>
      <w:r w:rsidRPr="00DA1BDA">
        <w:rPr>
          <w:rFonts w:ascii="標楷體" w:eastAsia="標楷體" w:hAnsi="標楷體" w:hint="eastAsia"/>
          <w:kern w:val="0"/>
        </w:rPr>
        <w:t>休</w:t>
      </w:r>
      <w:r w:rsidRPr="00DA1BDA">
        <w:rPr>
          <w:rFonts w:ascii="標楷體" w:eastAsia="標楷體" w:hAnsi="標楷體"/>
          <w:kern w:val="0"/>
        </w:rPr>
        <w:t>假期間授課不適用本規定。</w:t>
      </w:r>
    </w:p>
    <w:p w:rsidR="00E14D41" w:rsidRPr="00DA1BDA" w:rsidRDefault="00E14D41" w:rsidP="00E14D41">
      <w:pPr>
        <w:pStyle w:val="a3"/>
        <w:numPr>
          <w:ilvl w:val="0"/>
          <w:numId w:val="1"/>
        </w:numPr>
        <w:autoSpaceDE w:val="0"/>
        <w:autoSpaceDN w:val="0"/>
        <w:adjustRightInd w:val="0"/>
        <w:ind w:leftChars="0" w:left="567" w:hanging="567"/>
        <w:rPr>
          <w:rFonts w:ascii="標楷體" w:eastAsia="標楷體" w:hAnsi="標楷體"/>
          <w:kern w:val="0"/>
        </w:rPr>
      </w:pPr>
      <w:r w:rsidRPr="00DA1BDA">
        <w:rPr>
          <w:rFonts w:ascii="標楷體" w:eastAsia="標楷體" w:hAnsi="標楷體"/>
          <w:kern w:val="0"/>
        </w:rPr>
        <w:t>各學制專班之課程教師授課超支鐘點核計方式如下：</w:t>
      </w:r>
    </w:p>
    <w:p w:rsidR="00E14D41" w:rsidRPr="00DA1BDA" w:rsidRDefault="00E14D41" w:rsidP="00E14D41">
      <w:pPr>
        <w:pStyle w:val="a3"/>
        <w:numPr>
          <w:ilvl w:val="0"/>
          <w:numId w:val="7"/>
        </w:numPr>
        <w:autoSpaceDE w:val="0"/>
        <w:autoSpaceDN w:val="0"/>
        <w:adjustRightInd w:val="0"/>
        <w:ind w:leftChars="0"/>
        <w:rPr>
          <w:rFonts w:ascii="標楷體" w:eastAsia="標楷體" w:hAnsi="標楷體"/>
          <w:kern w:val="0"/>
        </w:rPr>
      </w:pPr>
      <w:r w:rsidRPr="00DA1BDA">
        <w:rPr>
          <w:rFonts w:ascii="標楷體" w:eastAsia="標楷體" w:hAnsi="標楷體"/>
          <w:kern w:val="0"/>
        </w:rPr>
        <w:t>在校內上課之各學制專班以教師鐘點給付標準之1.2 倍核計。</w:t>
      </w:r>
    </w:p>
    <w:p w:rsidR="00E14D41" w:rsidRPr="00DA1BDA" w:rsidRDefault="00E14D41" w:rsidP="00E14D41">
      <w:pPr>
        <w:pStyle w:val="a3"/>
        <w:numPr>
          <w:ilvl w:val="0"/>
          <w:numId w:val="7"/>
        </w:numPr>
        <w:autoSpaceDE w:val="0"/>
        <w:autoSpaceDN w:val="0"/>
        <w:adjustRightInd w:val="0"/>
        <w:ind w:leftChars="0"/>
        <w:rPr>
          <w:rFonts w:ascii="標楷體" w:eastAsia="標楷體" w:hAnsi="標楷體"/>
          <w:kern w:val="0"/>
        </w:rPr>
      </w:pPr>
      <w:r w:rsidRPr="00DA1BDA">
        <w:rPr>
          <w:rFonts w:ascii="標楷體" w:eastAsia="標楷體" w:hAnsi="標楷體"/>
          <w:kern w:val="0"/>
        </w:rPr>
        <w:t>在校外上課之各學制專班以教師鐘點給付標準之1.5 倍核計。在外縣市上課之交通費及住宿費依公教人員差旅辦法的額度足額給付。</w:t>
      </w:r>
    </w:p>
    <w:p w:rsidR="00E14D41" w:rsidRPr="00DA1BDA" w:rsidRDefault="00E14D41" w:rsidP="00E14D41">
      <w:pPr>
        <w:pStyle w:val="a3"/>
        <w:numPr>
          <w:ilvl w:val="0"/>
          <w:numId w:val="1"/>
        </w:numPr>
        <w:autoSpaceDE w:val="0"/>
        <w:autoSpaceDN w:val="0"/>
        <w:adjustRightInd w:val="0"/>
        <w:ind w:leftChars="0" w:left="567" w:hanging="567"/>
        <w:rPr>
          <w:rFonts w:ascii="標楷體" w:eastAsia="標楷體" w:hAnsi="標楷體"/>
          <w:kern w:val="0"/>
        </w:rPr>
      </w:pPr>
      <w:r w:rsidRPr="00DA1BDA">
        <w:rPr>
          <w:rFonts w:ascii="標楷體" w:eastAsia="標楷體" w:hAnsi="標楷體"/>
          <w:kern w:val="0"/>
        </w:rPr>
        <w:t>「英語測驗分析與實作」課程教師授課鐘點核計方式如下：</w:t>
      </w:r>
    </w:p>
    <w:p w:rsidR="00E14D41" w:rsidRPr="00DA1BDA" w:rsidRDefault="00E14D41" w:rsidP="00E14D41">
      <w:pPr>
        <w:pStyle w:val="a3"/>
        <w:autoSpaceDE w:val="0"/>
        <w:autoSpaceDN w:val="0"/>
        <w:adjustRightInd w:val="0"/>
        <w:ind w:leftChars="336" w:left="806"/>
        <w:rPr>
          <w:rFonts w:ascii="標楷體" w:eastAsia="標楷體" w:hAnsi="標楷體"/>
          <w:kern w:val="0"/>
        </w:rPr>
      </w:pPr>
      <w:r w:rsidRPr="00DA1BDA">
        <w:rPr>
          <w:rFonts w:ascii="標楷體" w:eastAsia="標楷體" w:hAnsi="標楷體"/>
          <w:kern w:val="0"/>
        </w:rPr>
        <w:t>各學制之「英語測驗分析與實作」以教師鐘點給付標準之1.2 倍核計。本科目授課鐘點不列入專任教師基本授課鐘點，但因本課程需要而聘專案教師不受此限。</w:t>
      </w:r>
    </w:p>
    <w:p w:rsidR="00E14D41" w:rsidRPr="00DA1BDA" w:rsidRDefault="00E14D41" w:rsidP="00E14D41">
      <w:pPr>
        <w:pStyle w:val="a3"/>
        <w:numPr>
          <w:ilvl w:val="0"/>
          <w:numId w:val="1"/>
        </w:numPr>
        <w:autoSpaceDE w:val="0"/>
        <w:autoSpaceDN w:val="0"/>
        <w:adjustRightInd w:val="0"/>
        <w:ind w:leftChars="0" w:left="567" w:hanging="567"/>
        <w:rPr>
          <w:rFonts w:ascii="標楷體" w:eastAsia="標楷體" w:hAnsi="標楷體"/>
          <w:kern w:val="0"/>
        </w:rPr>
      </w:pPr>
      <w:r w:rsidRPr="00DA1BDA">
        <w:rPr>
          <w:rFonts w:ascii="標楷體" w:eastAsia="標楷體" w:hAnsi="標楷體"/>
          <w:kern w:val="0"/>
        </w:rPr>
        <w:t>本校教師擔任學程科目之時數得計入基本授課鐘點。</w:t>
      </w:r>
    </w:p>
    <w:p w:rsidR="00E14D41" w:rsidRPr="00DA1BDA" w:rsidRDefault="00E14D41" w:rsidP="00E14D41">
      <w:pPr>
        <w:pStyle w:val="a3"/>
        <w:numPr>
          <w:ilvl w:val="0"/>
          <w:numId w:val="1"/>
        </w:numPr>
        <w:autoSpaceDE w:val="0"/>
        <w:autoSpaceDN w:val="0"/>
        <w:adjustRightInd w:val="0"/>
        <w:ind w:leftChars="0" w:left="567" w:hanging="567"/>
        <w:rPr>
          <w:rFonts w:ascii="標楷體" w:eastAsia="標楷體" w:hAnsi="標楷體"/>
          <w:kern w:val="0"/>
        </w:rPr>
      </w:pPr>
      <w:r w:rsidRPr="00DA1BDA">
        <w:rPr>
          <w:rFonts w:ascii="標楷體" w:eastAsia="標楷體" w:hAnsi="標楷體"/>
          <w:kern w:val="0"/>
        </w:rPr>
        <w:lastRenderedPageBreak/>
        <w:t>專任教師超支鐘點費及兼任教師鐘點費，每學期以18 週計，停課期間，不支領授課鐘點費或超支鐘點費。</w:t>
      </w:r>
    </w:p>
    <w:p w:rsidR="00E14D41" w:rsidRPr="00DA1BDA" w:rsidRDefault="00E14D41" w:rsidP="00E14D41">
      <w:pPr>
        <w:pStyle w:val="a3"/>
        <w:widowControl/>
        <w:numPr>
          <w:ilvl w:val="0"/>
          <w:numId w:val="1"/>
        </w:numPr>
        <w:autoSpaceDE w:val="0"/>
        <w:autoSpaceDN w:val="0"/>
        <w:adjustRightInd w:val="0"/>
        <w:ind w:leftChars="0" w:left="567" w:hanging="567"/>
        <w:rPr>
          <w:rFonts w:ascii="標楷體" w:eastAsia="標楷體" w:hAnsi="標楷體"/>
        </w:rPr>
      </w:pPr>
      <w:r w:rsidRPr="00DA1BDA">
        <w:rPr>
          <w:rFonts w:ascii="標楷體" w:eastAsia="標楷體" w:hAnsi="標楷體"/>
          <w:kern w:val="0"/>
        </w:rPr>
        <w:t>開課科目無論是必修或選修課，在加退選後，大學部最低開課人數十五人，碩士班最低開課人數五人，博士班最低開課人數三人；所有先修課皆為十五人。學程及就業學程最低開課人數，依本校最低開課人數訂定。「英語測驗分析與實作」開課人數至少三十人為原則。專任教師超支鐘點部份，未達開課人數仍需開課者另簽案處理，開課鐘點依上課人數比例核算，基本鐘點部份則不受此限；兼任教師開課鐘點亦不受此限。但因加退選後未開成的課，其鐘點費依實際上課鐘點核算。</w:t>
      </w:r>
    </w:p>
    <w:p w:rsidR="00E14D41" w:rsidRPr="00DA1BDA" w:rsidRDefault="00E14D41" w:rsidP="00E14D41">
      <w:pPr>
        <w:pStyle w:val="a3"/>
        <w:numPr>
          <w:ilvl w:val="0"/>
          <w:numId w:val="1"/>
        </w:numPr>
        <w:autoSpaceDE w:val="0"/>
        <w:autoSpaceDN w:val="0"/>
        <w:adjustRightInd w:val="0"/>
        <w:ind w:leftChars="0" w:left="567" w:hanging="567"/>
        <w:rPr>
          <w:rFonts w:ascii="標楷體" w:eastAsia="標楷體" w:hAnsi="標楷體"/>
          <w:kern w:val="0"/>
        </w:rPr>
      </w:pPr>
      <w:r w:rsidRPr="00DA1BDA">
        <w:rPr>
          <w:rFonts w:ascii="標楷體" w:eastAsia="標楷體" w:hAnsi="標楷體" w:hint="eastAsia"/>
          <w:kern w:val="0"/>
        </w:rPr>
        <w:t>本辦法經教務會議通過後實施，修正時亦同。</w:t>
      </w:r>
    </w:p>
    <w:p w:rsidR="00E20450" w:rsidRPr="00E14D41" w:rsidRDefault="00E20450"/>
    <w:sectPr w:rsidR="00E20450" w:rsidRPr="00E14D41" w:rsidSect="00E20450">
      <w:pgSz w:w="11906" w:h="16838"/>
      <w:pgMar w:top="1440" w:right="1800" w:bottom="1440" w:left="1800"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860633"/>
    <w:multiLevelType w:val="multilevel"/>
    <w:tmpl w:val="7E26DCBE"/>
    <w:lvl w:ilvl="0">
      <w:start w:val="1"/>
      <w:numFmt w:val="decimal"/>
      <w:lvlText w:val="%1、"/>
      <w:lvlJc w:val="left"/>
      <w:pPr>
        <w:ind w:left="1474" w:hanging="769"/>
      </w:pPr>
      <w:rPr>
        <w:rFonts w:hint="default"/>
      </w:rPr>
    </w:lvl>
    <w:lvl w:ilvl="1">
      <w:start w:val="1"/>
      <w:numFmt w:val="ideographTraditional"/>
      <w:lvlText w:val="%2、"/>
      <w:lvlJc w:val="left"/>
      <w:pPr>
        <w:ind w:left="1665" w:hanging="480"/>
      </w:pPr>
      <w:rPr>
        <w:rFonts w:hint="eastAsia"/>
      </w:rPr>
    </w:lvl>
    <w:lvl w:ilvl="2">
      <w:start w:val="1"/>
      <w:numFmt w:val="lowerRoman"/>
      <w:lvlText w:val="%3."/>
      <w:lvlJc w:val="right"/>
      <w:pPr>
        <w:ind w:left="2145" w:hanging="480"/>
      </w:pPr>
      <w:rPr>
        <w:rFonts w:hint="eastAsia"/>
      </w:rPr>
    </w:lvl>
    <w:lvl w:ilvl="3">
      <w:start w:val="1"/>
      <w:numFmt w:val="decimal"/>
      <w:lvlText w:val="%4."/>
      <w:lvlJc w:val="left"/>
      <w:pPr>
        <w:ind w:left="2625" w:hanging="480"/>
      </w:pPr>
      <w:rPr>
        <w:rFonts w:hint="eastAsia"/>
      </w:rPr>
    </w:lvl>
    <w:lvl w:ilvl="4">
      <w:start w:val="1"/>
      <w:numFmt w:val="ideographTraditional"/>
      <w:lvlText w:val="%5、"/>
      <w:lvlJc w:val="left"/>
      <w:pPr>
        <w:ind w:left="3105" w:hanging="480"/>
      </w:pPr>
      <w:rPr>
        <w:rFonts w:hint="eastAsia"/>
      </w:rPr>
    </w:lvl>
    <w:lvl w:ilvl="5">
      <w:start w:val="1"/>
      <w:numFmt w:val="lowerRoman"/>
      <w:lvlText w:val="%6."/>
      <w:lvlJc w:val="right"/>
      <w:pPr>
        <w:ind w:left="3585" w:hanging="480"/>
      </w:pPr>
      <w:rPr>
        <w:rFonts w:hint="eastAsia"/>
      </w:rPr>
    </w:lvl>
    <w:lvl w:ilvl="6">
      <w:start w:val="1"/>
      <w:numFmt w:val="decimal"/>
      <w:lvlText w:val="%7."/>
      <w:lvlJc w:val="left"/>
      <w:pPr>
        <w:ind w:left="4065" w:hanging="480"/>
      </w:pPr>
      <w:rPr>
        <w:rFonts w:hint="eastAsia"/>
      </w:rPr>
    </w:lvl>
    <w:lvl w:ilvl="7">
      <w:start w:val="1"/>
      <w:numFmt w:val="ideographTraditional"/>
      <w:lvlText w:val="%8、"/>
      <w:lvlJc w:val="left"/>
      <w:pPr>
        <w:ind w:left="4545" w:hanging="480"/>
      </w:pPr>
      <w:rPr>
        <w:rFonts w:hint="eastAsia"/>
      </w:rPr>
    </w:lvl>
    <w:lvl w:ilvl="8">
      <w:start w:val="1"/>
      <w:numFmt w:val="lowerRoman"/>
      <w:lvlText w:val="%9."/>
      <w:lvlJc w:val="right"/>
      <w:pPr>
        <w:ind w:left="5025" w:hanging="480"/>
      </w:pPr>
      <w:rPr>
        <w:rFonts w:hint="eastAsia"/>
      </w:rPr>
    </w:lvl>
  </w:abstractNum>
  <w:abstractNum w:abstractNumId="1">
    <w:nsid w:val="1698028B"/>
    <w:multiLevelType w:val="hybridMultilevel"/>
    <w:tmpl w:val="99F61C5C"/>
    <w:lvl w:ilvl="0" w:tplc="EEE6A89E">
      <w:start w:val="1"/>
      <w:numFmt w:val="taiwaneseCountingThousand"/>
      <w:lvlText w:val="（%1）"/>
      <w:lvlJc w:val="left"/>
      <w:pPr>
        <w:ind w:left="1065" w:hanging="720"/>
      </w:pPr>
      <w:rPr>
        <w:rFonts w:hint="default"/>
      </w:rPr>
    </w:lvl>
    <w:lvl w:ilvl="1" w:tplc="03843A2A" w:tentative="1">
      <w:start w:val="1"/>
      <w:numFmt w:val="ideographTraditional"/>
      <w:lvlText w:val="%2、"/>
      <w:lvlJc w:val="left"/>
      <w:pPr>
        <w:ind w:left="960" w:hanging="480"/>
      </w:pPr>
    </w:lvl>
    <w:lvl w:ilvl="2" w:tplc="C7127E30" w:tentative="1">
      <w:start w:val="1"/>
      <w:numFmt w:val="lowerRoman"/>
      <w:lvlText w:val="%3."/>
      <w:lvlJc w:val="right"/>
      <w:pPr>
        <w:ind w:left="1440" w:hanging="480"/>
      </w:pPr>
    </w:lvl>
    <w:lvl w:ilvl="3" w:tplc="90523508" w:tentative="1">
      <w:start w:val="1"/>
      <w:numFmt w:val="decimal"/>
      <w:lvlText w:val="%4."/>
      <w:lvlJc w:val="left"/>
      <w:pPr>
        <w:ind w:left="1920" w:hanging="480"/>
      </w:pPr>
    </w:lvl>
    <w:lvl w:ilvl="4" w:tplc="C512E48C" w:tentative="1">
      <w:start w:val="1"/>
      <w:numFmt w:val="ideographTraditional"/>
      <w:lvlText w:val="%5、"/>
      <w:lvlJc w:val="left"/>
      <w:pPr>
        <w:ind w:left="2400" w:hanging="480"/>
      </w:pPr>
    </w:lvl>
    <w:lvl w:ilvl="5" w:tplc="807A59AA" w:tentative="1">
      <w:start w:val="1"/>
      <w:numFmt w:val="lowerRoman"/>
      <w:lvlText w:val="%6."/>
      <w:lvlJc w:val="right"/>
      <w:pPr>
        <w:ind w:left="2880" w:hanging="480"/>
      </w:pPr>
    </w:lvl>
    <w:lvl w:ilvl="6" w:tplc="30F2FB06" w:tentative="1">
      <w:start w:val="1"/>
      <w:numFmt w:val="decimal"/>
      <w:lvlText w:val="%7."/>
      <w:lvlJc w:val="left"/>
      <w:pPr>
        <w:ind w:left="3360" w:hanging="480"/>
      </w:pPr>
    </w:lvl>
    <w:lvl w:ilvl="7" w:tplc="C33A3E80" w:tentative="1">
      <w:start w:val="1"/>
      <w:numFmt w:val="ideographTraditional"/>
      <w:lvlText w:val="%8、"/>
      <w:lvlJc w:val="left"/>
      <w:pPr>
        <w:ind w:left="3840" w:hanging="480"/>
      </w:pPr>
    </w:lvl>
    <w:lvl w:ilvl="8" w:tplc="08E6CDD2" w:tentative="1">
      <w:start w:val="1"/>
      <w:numFmt w:val="lowerRoman"/>
      <w:lvlText w:val="%9."/>
      <w:lvlJc w:val="right"/>
      <w:pPr>
        <w:ind w:left="4320" w:hanging="480"/>
      </w:pPr>
    </w:lvl>
  </w:abstractNum>
  <w:abstractNum w:abstractNumId="2">
    <w:nsid w:val="179C652C"/>
    <w:multiLevelType w:val="hybridMultilevel"/>
    <w:tmpl w:val="31585C56"/>
    <w:lvl w:ilvl="0" w:tplc="E83E5AA0">
      <w:start w:val="1"/>
      <w:numFmt w:val="taiwaneseCountingThousand"/>
      <w:lvlText w:val="（%1）"/>
      <w:lvlJc w:val="left"/>
      <w:pPr>
        <w:ind w:left="1065"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BD732B0"/>
    <w:multiLevelType w:val="multilevel"/>
    <w:tmpl w:val="2EEA2E9A"/>
    <w:lvl w:ilvl="0">
      <w:start w:val="1"/>
      <w:numFmt w:val="decimal"/>
      <w:lvlText w:val="%1、"/>
      <w:lvlJc w:val="left"/>
      <w:pPr>
        <w:ind w:left="1474" w:hanging="769"/>
      </w:pPr>
      <w:rPr>
        <w:rFonts w:hint="default"/>
      </w:rPr>
    </w:lvl>
    <w:lvl w:ilvl="1">
      <w:start w:val="1"/>
      <w:numFmt w:val="ideographTraditional"/>
      <w:lvlText w:val="%2、"/>
      <w:lvlJc w:val="left"/>
      <w:pPr>
        <w:ind w:left="1665" w:hanging="480"/>
      </w:pPr>
      <w:rPr>
        <w:rFonts w:hint="eastAsia"/>
      </w:rPr>
    </w:lvl>
    <w:lvl w:ilvl="2">
      <w:start w:val="1"/>
      <w:numFmt w:val="lowerRoman"/>
      <w:lvlText w:val="%3."/>
      <w:lvlJc w:val="right"/>
      <w:pPr>
        <w:ind w:left="2145" w:hanging="480"/>
      </w:pPr>
      <w:rPr>
        <w:rFonts w:hint="eastAsia"/>
      </w:rPr>
    </w:lvl>
    <w:lvl w:ilvl="3">
      <w:start w:val="1"/>
      <w:numFmt w:val="decimal"/>
      <w:lvlText w:val="%4."/>
      <w:lvlJc w:val="left"/>
      <w:pPr>
        <w:ind w:left="2625" w:hanging="480"/>
      </w:pPr>
      <w:rPr>
        <w:rFonts w:hint="eastAsia"/>
      </w:rPr>
    </w:lvl>
    <w:lvl w:ilvl="4">
      <w:start w:val="1"/>
      <w:numFmt w:val="ideographTraditional"/>
      <w:lvlText w:val="%5、"/>
      <w:lvlJc w:val="left"/>
      <w:pPr>
        <w:ind w:left="3105" w:hanging="480"/>
      </w:pPr>
      <w:rPr>
        <w:rFonts w:hint="eastAsia"/>
      </w:rPr>
    </w:lvl>
    <w:lvl w:ilvl="5">
      <w:start w:val="1"/>
      <w:numFmt w:val="lowerRoman"/>
      <w:lvlText w:val="%6."/>
      <w:lvlJc w:val="right"/>
      <w:pPr>
        <w:ind w:left="3585" w:hanging="480"/>
      </w:pPr>
      <w:rPr>
        <w:rFonts w:hint="eastAsia"/>
      </w:rPr>
    </w:lvl>
    <w:lvl w:ilvl="6">
      <w:start w:val="1"/>
      <w:numFmt w:val="decimal"/>
      <w:lvlText w:val="%7."/>
      <w:lvlJc w:val="left"/>
      <w:pPr>
        <w:ind w:left="4065" w:hanging="480"/>
      </w:pPr>
      <w:rPr>
        <w:rFonts w:hint="eastAsia"/>
      </w:rPr>
    </w:lvl>
    <w:lvl w:ilvl="7">
      <w:start w:val="1"/>
      <w:numFmt w:val="ideographTraditional"/>
      <w:lvlText w:val="%8、"/>
      <w:lvlJc w:val="left"/>
      <w:pPr>
        <w:ind w:left="4545" w:hanging="480"/>
      </w:pPr>
      <w:rPr>
        <w:rFonts w:hint="eastAsia"/>
      </w:rPr>
    </w:lvl>
    <w:lvl w:ilvl="8">
      <w:start w:val="1"/>
      <w:numFmt w:val="lowerRoman"/>
      <w:lvlText w:val="%9."/>
      <w:lvlJc w:val="right"/>
      <w:pPr>
        <w:ind w:left="5025" w:hanging="480"/>
      </w:pPr>
      <w:rPr>
        <w:rFonts w:hint="eastAsia"/>
      </w:rPr>
    </w:lvl>
  </w:abstractNum>
  <w:abstractNum w:abstractNumId="4">
    <w:nsid w:val="47D5755F"/>
    <w:multiLevelType w:val="hybridMultilevel"/>
    <w:tmpl w:val="31C6DBFA"/>
    <w:lvl w:ilvl="0" w:tplc="5CFA4C00">
      <w:start w:val="1"/>
      <w:numFmt w:val="taiwaneseCountingThousand"/>
      <w:lvlText w:val="（%1）"/>
      <w:lvlJc w:val="left"/>
      <w:pPr>
        <w:ind w:left="1065"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569A271E"/>
    <w:multiLevelType w:val="multilevel"/>
    <w:tmpl w:val="58BC7D48"/>
    <w:lvl w:ilvl="0">
      <w:start w:val="1"/>
      <w:numFmt w:val="taiwaneseCountingThousand"/>
      <w:lvlText w:val="%1、"/>
      <w:lvlJc w:val="left"/>
      <w:pPr>
        <w:tabs>
          <w:tab w:val="num" w:pos="0"/>
        </w:tabs>
        <w:ind w:left="964" w:hanging="964"/>
      </w:pPr>
      <w:rPr>
        <w:rFonts w:hint="default"/>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6">
    <w:nsid w:val="742619AA"/>
    <w:multiLevelType w:val="hybridMultilevel"/>
    <w:tmpl w:val="8376D472"/>
    <w:lvl w:ilvl="0" w:tplc="DC14A7C0">
      <w:start w:val="1"/>
      <w:numFmt w:val="taiwaneseCountingThousand"/>
      <w:lvlText w:val="（%1）"/>
      <w:lvlJc w:val="left"/>
      <w:pPr>
        <w:ind w:left="1065"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2"/>
  </w:num>
  <w:num w:numId="3">
    <w:abstractNumId w:val="0"/>
  </w:num>
  <w:num w:numId="4">
    <w:abstractNumId w:val="3"/>
  </w:num>
  <w:num w:numId="5">
    <w:abstractNumId w:val="1"/>
  </w:num>
  <w:num w:numId="6">
    <w:abstractNumId w:val="4"/>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proofState w:spelling="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E14D41"/>
    <w:rsid w:val="00111FEF"/>
    <w:rsid w:val="00754B82"/>
    <w:rsid w:val="00C81810"/>
    <w:rsid w:val="00E14D41"/>
    <w:rsid w:val="00E20450"/>
    <w:rsid w:val="00F342AA"/>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4D41"/>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nhideWhenUsed/>
    <w:rsid w:val="00E14D41"/>
    <w:pPr>
      <w:widowControl/>
      <w:spacing w:before="100" w:beforeAutospacing="1" w:after="100" w:afterAutospacing="1"/>
    </w:pPr>
    <w:rPr>
      <w:rFonts w:ascii="新細明體" w:hAnsi="新細明體" w:cs="新細明體"/>
      <w:kern w:val="0"/>
      <w:szCs w:val="24"/>
    </w:rPr>
  </w:style>
  <w:style w:type="paragraph" w:styleId="a3">
    <w:name w:val="List Paragraph"/>
    <w:basedOn w:val="a"/>
    <w:uiPriority w:val="34"/>
    <w:qFormat/>
    <w:rsid w:val="00E14D41"/>
    <w:pPr>
      <w:ind w:leftChars="200" w:left="480"/>
    </w:pPr>
    <w:rPr>
      <w:rFonts w:ascii="Times New Roman" w:hAnsi="Times New Roman"/>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3</Pages>
  <Words>336</Words>
  <Characters>1919</Characters>
  <Application>Microsoft Office Word</Application>
  <DocSecurity>0</DocSecurity>
  <Lines>15</Lines>
  <Paragraphs>4</Paragraphs>
  <ScaleCrop>false</ScaleCrop>
  <Company>NTCN</Company>
  <LinksUpToDate>false</LinksUpToDate>
  <CharactersWithSpaces>2251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NTCN</dc:creator>
  <cp:keywords/>
  <dc:description/>
  <cp:lastModifiedBy>NTCN</cp:lastModifiedBy>
  <cp:revision>1</cp:revision>
  <dcterms:created xsi:type="dcterms:W3CDTF">2012-07-04T00:51:00Z</dcterms:created>
  <dcterms:modified xsi:type="dcterms:W3CDTF">2012-07-04T01:22:00Z</dcterms:modified>
</cp:coreProperties>
</file>